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5F38C5" w14:textId="77777777" w:rsidR="006F5910" w:rsidRDefault="006F5910" w:rsidP="006F5910">
      <w:pPr>
        <w:jc w:val="center"/>
        <w:rPr>
          <w:lang w:val="en-US"/>
        </w:rPr>
      </w:pPr>
      <w:bookmarkStart w:id="0" w:name="_GoBack"/>
      <w:bookmarkEnd w:id="0"/>
    </w:p>
    <w:p w14:paraId="3C6B25D1" w14:textId="77777777" w:rsidR="006F5910" w:rsidRDefault="006F5910" w:rsidP="006F5910">
      <w:pPr>
        <w:jc w:val="center"/>
        <w:rPr>
          <w:lang w:val="en-US"/>
        </w:rPr>
      </w:pPr>
    </w:p>
    <w:p w14:paraId="2CC6EB5C" w14:textId="77777777" w:rsidR="006F5910" w:rsidRDefault="006F5910" w:rsidP="006F5910">
      <w:pPr>
        <w:jc w:val="center"/>
        <w:rPr>
          <w:lang w:val="en-US"/>
        </w:rPr>
      </w:pPr>
    </w:p>
    <w:p w14:paraId="40C61476" w14:textId="77777777" w:rsidR="006F5910" w:rsidRDefault="006F5910" w:rsidP="006F5910">
      <w:pPr>
        <w:jc w:val="center"/>
        <w:rPr>
          <w:lang w:val="en-US"/>
        </w:rPr>
      </w:pPr>
    </w:p>
    <w:p w14:paraId="7FFE6157" w14:textId="77777777" w:rsidR="006F5910" w:rsidRDefault="006F5910" w:rsidP="006F5910">
      <w:pPr>
        <w:jc w:val="center"/>
        <w:rPr>
          <w:lang w:val="en-US"/>
        </w:rPr>
      </w:pPr>
    </w:p>
    <w:p w14:paraId="799C63FB" w14:textId="77777777" w:rsidR="006F5910" w:rsidRDefault="006F5910" w:rsidP="006F5910">
      <w:pPr>
        <w:jc w:val="center"/>
        <w:rPr>
          <w:lang w:val="en-US"/>
        </w:rPr>
      </w:pPr>
    </w:p>
    <w:p w14:paraId="4D658F05" w14:textId="77777777" w:rsidR="006F5910" w:rsidRDefault="006F5910" w:rsidP="006F5910">
      <w:pPr>
        <w:jc w:val="center"/>
        <w:rPr>
          <w:lang w:val="en-US"/>
        </w:rPr>
      </w:pPr>
    </w:p>
    <w:p w14:paraId="6456581D" w14:textId="77777777" w:rsidR="006F5910" w:rsidRDefault="006F5910" w:rsidP="006F5910">
      <w:pPr>
        <w:jc w:val="center"/>
        <w:rPr>
          <w:lang w:val="en-US"/>
        </w:rPr>
      </w:pPr>
    </w:p>
    <w:p w14:paraId="315D7EF0" w14:textId="77777777" w:rsidR="006F5910" w:rsidRDefault="006F5910" w:rsidP="006F5910">
      <w:pPr>
        <w:jc w:val="center"/>
        <w:rPr>
          <w:lang w:val="en-US"/>
        </w:rPr>
      </w:pPr>
    </w:p>
    <w:p w14:paraId="0412C6AB" w14:textId="77777777" w:rsidR="006F5910" w:rsidRDefault="006F5910" w:rsidP="006F5910">
      <w:pPr>
        <w:jc w:val="center"/>
        <w:rPr>
          <w:lang w:val="en-US"/>
        </w:rPr>
      </w:pPr>
    </w:p>
    <w:p w14:paraId="723ED163" w14:textId="77777777" w:rsidR="006F5910" w:rsidRDefault="006F5910" w:rsidP="006F5910">
      <w:pPr>
        <w:jc w:val="center"/>
        <w:rPr>
          <w:lang w:val="en-US"/>
        </w:rPr>
      </w:pPr>
    </w:p>
    <w:p w14:paraId="185F5CB3" w14:textId="77777777" w:rsidR="006F5910" w:rsidRDefault="006F5910" w:rsidP="006F5910">
      <w:pPr>
        <w:jc w:val="center"/>
        <w:rPr>
          <w:lang w:val="en-US"/>
        </w:rPr>
      </w:pPr>
    </w:p>
    <w:p w14:paraId="1D51AB12" w14:textId="77777777" w:rsidR="006F5910" w:rsidRDefault="006F5910" w:rsidP="006F5910">
      <w:pPr>
        <w:jc w:val="center"/>
        <w:rPr>
          <w:lang w:val="en-US"/>
        </w:rPr>
      </w:pPr>
    </w:p>
    <w:p w14:paraId="70196625" w14:textId="46008741" w:rsidR="006F5910" w:rsidRDefault="00337048" w:rsidP="006F5910">
      <w:pPr>
        <w:jc w:val="center"/>
        <w:rPr>
          <w:lang w:val="en-US"/>
        </w:rPr>
      </w:pPr>
      <w:r>
        <w:rPr>
          <w:lang w:val="en-US"/>
        </w:rPr>
        <w:t>Evidence-Based Practice Article</w:t>
      </w:r>
    </w:p>
    <w:p w14:paraId="3BB36A45" w14:textId="789F3567" w:rsidR="006F5910" w:rsidRDefault="00337048" w:rsidP="006F5910">
      <w:pPr>
        <w:jc w:val="center"/>
        <w:rPr>
          <w:lang w:val="en-US"/>
        </w:rPr>
      </w:pPr>
      <w:r>
        <w:rPr>
          <w:lang w:val="en-US"/>
        </w:rPr>
        <w:t>Name</w:t>
      </w:r>
    </w:p>
    <w:p w14:paraId="1BEC71E7" w14:textId="611C9EF0" w:rsidR="006F5910" w:rsidRDefault="00337048" w:rsidP="006F5910">
      <w:pPr>
        <w:jc w:val="center"/>
        <w:rPr>
          <w:lang w:val="en-US"/>
        </w:rPr>
      </w:pPr>
      <w:r>
        <w:rPr>
          <w:lang w:val="en-US"/>
        </w:rPr>
        <w:t>Institution</w:t>
      </w:r>
    </w:p>
    <w:p w14:paraId="220A4F61" w14:textId="00940F30" w:rsidR="006F5910" w:rsidRDefault="006F5910" w:rsidP="006F5910">
      <w:pPr>
        <w:jc w:val="center"/>
        <w:rPr>
          <w:lang w:val="en-US"/>
        </w:rPr>
      </w:pPr>
    </w:p>
    <w:p w14:paraId="4B175AD6" w14:textId="5A0498A3" w:rsidR="006F5910" w:rsidRDefault="006F5910" w:rsidP="006F5910">
      <w:pPr>
        <w:jc w:val="center"/>
        <w:rPr>
          <w:lang w:val="en-US"/>
        </w:rPr>
      </w:pPr>
    </w:p>
    <w:p w14:paraId="7D6082CC" w14:textId="7A86C74A" w:rsidR="006F5910" w:rsidRDefault="006F5910" w:rsidP="006F5910">
      <w:pPr>
        <w:jc w:val="center"/>
        <w:rPr>
          <w:lang w:val="en-US"/>
        </w:rPr>
      </w:pPr>
    </w:p>
    <w:p w14:paraId="1F985367" w14:textId="31C45117" w:rsidR="006F5910" w:rsidRDefault="006F5910" w:rsidP="006F5910">
      <w:pPr>
        <w:jc w:val="center"/>
        <w:rPr>
          <w:lang w:val="en-US"/>
        </w:rPr>
      </w:pPr>
    </w:p>
    <w:p w14:paraId="53679B72" w14:textId="48C3582E" w:rsidR="006F5910" w:rsidRDefault="006F5910" w:rsidP="006F5910">
      <w:pPr>
        <w:jc w:val="center"/>
        <w:rPr>
          <w:lang w:val="en-US"/>
        </w:rPr>
      </w:pPr>
    </w:p>
    <w:p w14:paraId="091AA88B" w14:textId="5EC08914" w:rsidR="006F5910" w:rsidRDefault="006F5910" w:rsidP="006F5910">
      <w:pPr>
        <w:jc w:val="center"/>
        <w:rPr>
          <w:lang w:val="en-US"/>
        </w:rPr>
      </w:pPr>
    </w:p>
    <w:p w14:paraId="1B57A108" w14:textId="0BC95E71" w:rsidR="006F5910" w:rsidRDefault="006F5910" w:rsidP="006F5910">
      <w:pPr>
        <w:jc w:val="center"/>
        <w:rPr>
          <w:lang w:val="en-US"/>
        </w:rPr>
      </w:pPr>
    </w:p>
    <w:p w14:paraId="4738C0CF" w14:textId="6749A209" w:rsidR="006F5910" w:rsidRDefault="006F5910" w:rsidP="006F5910">
      <w:pPr>
        <w:jc w:val="center"/>
        <w:rPr>
          <w:lang w:val="en-US"/>
        </w:rPr>
      </w:pPr>
    </w:p>
    <w:p w14:paraId="0EDA0F23" w14:textId="5E83595A" w:rsidR="006F5910" w:rsidRDefault="006F5910" w:rsidP="006F5910">
      <w:pPr>
        <w:jc w:val="center"/>
        <w:rPr>
          <w:lang w:val="en-US"/>
        </w:rPr>
      </w:pPr>
    </w:p>
    <w:p w14:paraId="7007AEE7" w14:textId="71CDD29E" w:rsidR="006F5910" w:rsidRDefault="006F5910" w:rsidP="006F5910">
      <w:pPr>
        <w:jc w:val="center"/>
        <w:rPr>
          <w:lang w:val="en-US"/>
        </w:rPr>
      </w:pPr>
    </w:p>
    <w:p w14:paraId="0015FD99" w14:textId="66AE9658" w:rsidR="006F5910" w:rsidRDefault="006F5910" w:rsidP="006F5910">
      <w:pPr>
        <w:jc w:val="center"/>
        <w:rPr>
          <w:lang w:val="en-US"/>
        </w:rPr>
      </w:pPr>
    </w:p>
    <w:p w14:paraId="52CA9DEA" w14:textId="4218E95B" w:rsidR="006F5910" w:rsidRDefault="006F5910" w:rsidP="006F5910">
      <w:pPr>
        <w:jc w:val="center"/>
        <w:rPr>
          <w:lang w:val="en-US"/>
        </w:rPr>
      </w:pPr>
    </w:p>
    <w:p w14:paraId="50BD2F9C" w14:textId="04D84E90" w:rsidR="006F5910" w:rsidRDefault="006F5910" w:rsidP="006F5910">
      <w:pPr>
        <w:jc w:val="center"/>
        <w:rPr>
          <w:lang w:val="en-US"/>
        </w:rPr>
      </w:pPr>
    </w:p>
    <w:p w14:paraId="794AAA73" w14:textId="77777777" w:rsidR="006F5910" w:rsidRDefault="006F5910" w:rsidP="006F5910">
      <w:pPr>
        <w:jc w:val="center"/>
        <w:rPr>
          <w:lang w:val="en-US"/>
        </w:rPr>
      </w:pPr>
    </w:p>
    <w:p w14:paraId="018E92E9" w14:textId="0974F1E6" w:rsidR="008D4866" w:rsidRDefault="00337048" w:rsidP="00CE2B20">
      <w:pPr>
        <w:spacing w:line="480" w:lineRule="auto"/>
        <w:ind w:firstLine="720"/>
        <w:jc w:val="both"/>
        <w:rPr>
          <w:lang w:val="en-US"/>
        </w:rPr>
      </w:pPr>
      <w:r>
        <w:rPr>
          <w:lang w:val="en-US"/>
        </w:rPr>
        <w:lastRenderedPageBreak/>
        <w:t>Different cultures have different aspects that define the level of interaction within the society as well as the interventions that promote a strong focus on individual healthcare. Healthcare concepts within a cultural perspective are always challenging, considering that different cultures have different values and principles that govern the conduct of individuals affiliated to a given culture. Identity is a significant factor in shaping individual commitment to specific interventions within healthcare. The article that forms the basis of this discussion is spiritual diversity and living with early-stage dementia.</w:t>
      </w:r>
    </w:p>
    <w:p w14:paraId="6670B76E" w14:textId="5F9045FE" w:rsidR="00CE2B20" w:rsidRPr="00CE2B20" w:rsidRDefault="00337048" w:rsidP="00CE2B20">
      <w:pPr>
        <w:spacing w:line="480" w:lineRule="auto"/>
        <w:jc w:val="both"/>
        <w:rPr>
          <w:b/>
          <w:bCs/>
          <w:lang w:val="en-US"/>
        </w:rPr>
      </w:pPr>
      <w:r w:rsidRPr="00CE2B20">
        <w:rPr>
          <w:b/>
          <w:bCs/>
          <w:lang w:val="en-US"/>
        </w:rPr>
        <w:t>The purpose of the article</w:t>
      </w:r>
    </w:p>
    <w:p w14:paraId="23BD58D4" w14:textId="7C5532E0" w:rsidR="006809A0" w:rsidRDefault="00337048" w:rsidP="00CE2B20">
      <w:pPr>
        <w:spacing w:line="480" w:lineRule="auto"/>
        <w:ind w:firstLine="720"/>
        <w:jc w:val="both"/>
        <w:rPr>
          <w:lang w:val="en-US"/>
        </w:rPr>
      </w:pPr>
      <w:r>
        <w:rPr>
          <w:lang w:val="en-US"/>
        </w:rPr>
        <w:t>Spiritual diversity embraces different factors that help in shaping the level of management and understanding of cultural provisions that influence individual engagement. The article emphasizes the religious diversity as an evidence-based practice in engaging with individuals living with early-stage dementia. An evidence-based theoretical framework for spiritual variety is described based on two clinical case studies, which included people living with early-stage dementia</w:t>
      </w:r>
      <w:r w:rsidR="00CE2B20">
        <w:rPr>
          <w:lang w:val="en-US"/>
        </w:rPr>
        <w:t xml:space="preserve"> (</w:t>
      </w:r>
      <w:r w:rsidR="00CE2B20" w:rsidRPr="006F5910">
        <w:t>McGee</w:t>
      </w:r>
      <w:r w:rsidR="00CE2B20">
        <w:rPr>
          <w:lang w:val="en-US"/>
        </w:rPr>
        <w:t xml:space="preserve"> et al., 2018, 262). </w:t>
      </w:r>
      <w:r>
        <w:rPr>
          <w:lang w:val="en-US"/>
        </w:rPr>
        <w:t xml:space="preserve">Having a positive influence on individual spirituality is defined by different elements </w:t>
      </w:r>
      <w:r w:rsidR="006538E6">
        <w:rPr>
          <w:lang w:val="en-US"/>
        </w:rPr>
        <w:t>in which clinicians must effectively identify and implement countermeasures to promote quality healthcare delivery. Thus</w:t>
      </w:r>
      <w:r w:rsidR="006F5910">
        <w:rPr>
          <w:lang w:val="en-US"/>
        </w:rPr>
        <w:t>,</w:t>
      </w:r>
      <w:r w:rsidR="006538E6">
        <w:rPr>
          <w:lang w:val="en-US"/>
        </w:rPr>
        <w:t xml:space="preserve"> the purpose of the article was to help understand the role of spiritual diversity in improving the health status of people living with </w:t>
      </w:r>
      <w:r w:rsidR="00DC2427">
        <w:rPr>
          <w:lang w:val="en-US"/>
        </w:rPr>
        <w:t>early-stage dementia.</w:t>
      </w:r>
    </w:p>
    <w:p w14:paraId="696CC35E" w14:textId="4438843D" w:rsidR="00DC2427" w:rsidRDefault="00337048" w:rsidP="00CE2B20">
      <w:pPr>
        <w:spacing w:line="480" w:lineRule="auto"/>
        <w:ind w:firstLine="720"/>
        <w:jc w:val="both"/>
        <w:rPr>
          <w:lang w:val="en-US"/>
        </w:rPr>
      </w:pPr>
      <w:r>
        <w:rPr>
          <w:lang w:val="en-US"/>
        </w:rPr>
        <w:t>Maintaining cultural underpinnings while embracing religious teachings allows an individual as well as the community at large to have an understanding of both concepts, which help in defining better measures that promote individual change based on their health needs. The best way to achieve cultural diversity is through the assessment of major cultural concerns within a given community and allow integration of a better structure that promote change in individual understanding</w:t>
      </w:r>
      <w:r w:rsidR="00CE2B20">
        <w:rPr>
          <w:lang w:val="en-US"/>
        </w:rPr>
        <w:t xml:space="preserve"> </w:t>
      </w:r>
      <w:r w:rsidR="00CE2B20" w:rsidRPr="00CE2B20">
        <w:rPr>
          <w:lang w:val="en-US"/>
        </w:rPr>
        <w:t>(</w:t>
      </w:r>
      <w:r w:rsidR="00CE2B20" w:rsidRPr="006F5910">
        <w:t>McGee</w:t>
      </w:r>
      <w:r w:rsidR="00CE2B20" w:rsidRPr="00CE2B20">
        <w:rPr>
          <w:lang w:val="en-US"/>
        </w:rPr>
        <w:t xml:space="preserve"> et al., 2018, 26</w:t>
      </w:r>
      <w:r w:rsidR="00CE2B20">
        <w:rPr>
          <w:lang w:val="en-US"/>
        </w:rPr>
        <w:t>4</w:t>
      </w:r>
      <w:r w:rsidR="00CE2B20" w:rsidRPr="00CE2B20">
        <w:rPr>
          <w:lang w:val="en-US"/>
        </w:rPr>
        <w:t>).</w:t>
      </w:r>
    </w:p>
    <w:p w14:paraId="4BCC3D66" w14:textId="4DA3CE4F" w:rsidR="00CE2B20" w:rsidRPr="00CE2B20" w:rsidRDefault="00337048" w:rsidP="00CE2B20">
      <w:pPr>
        <w:spacing w:line="480" w:lineRule="auto"/>
        <w:jc w:val="both"/>
        <w:rPr>
          <w:b/>
          <w:bCs/>
          <w:lang w:val="en-US"/>
        </w:rPr>
      </w:pPr>
      <w:r w:rsidRPr="00CE2B20">
        <w:rPr>
          <w:b/>
          <w:bCs/>
          <w:lang w:val="en-US"/>
        </w:rPr>
        <w:lastRenderedPageBreak/>
        <w:t>Based on this article and your thoughts, how do you believe culture can/does affect healthcare/nursing practice?</w:t>
      </w:r>
    </w:p>
    <w:p w14:paraId="16044394" w14:textId="793D6F4D" w:rsidR="00DC2427" w:rsidRDefault="00337048" w:rsidP="00CE2B20">
      <w:pPr>
        <w:spacing w:line="480" w:lineRule="auto"/>
        <w:ind w:firstLine="720"/>
        <w:jc w:val="both"/>
        <w:rPr>
          <w:lang w:val="en-US"/>
        </w:rPr>
      </w:pPr>
      <w:r>
        <w:rPr>
          <w:lang w:val="en-US"/>
        </w:rPr>
        <w:t xml:space="preserve">Culture is integral to healthcare delivery. The healthcare interventions that are considered must focus on conforming with the underlying cultural values and principles. The concepts that have been discussed in the article present a broader focus on different aspects that help offer a strict system that attains improved emphasis on religious factors that promote change within this vulnerable group.  The link between religion and culture is defined based on common assertions that are applicable in both contexts. Culture has an instrumental role in the delivery of healthcare. This is the primary reason that there is a need to identify major cultural issues and help ensure that there is an understanding with community members before deciding on the best approach to consider. </w:t>
      </w:r>
    </w:p>
    <w:p w14:paraId="2C71E795" w14:textId="6B8DAF70" w:rsidR="006538E6" w:rsidRDefault="006538E6">
      <w:pPr>
        <w:rPr>
          <w:lang w:val="en-US"/>
        </w:rPr>
      </w:pPr>
    </w:p>
    <w:p w14:paraId="35904377" w14:textId="7A78F5BB" w:rsidR="00CE2B20" w:rsidRDefault="00CE2B20">
      <w:pPr>
        <w:rPr>
          <w:lang w:val="en-US"/>
        </w:rPr>
      </w:pPr>
    </w:p>
    <w:p w14:paraId="0D780E68" w14:textId="51CD6ED7" w:rsidR="00CE2B20" w:rsidRDefault="00CE2B20">
      <w:pPr>
        <w:rPr>
          <w:lang w:val="en-US"/>
        </w:rPr>
      </w:pPr>
    </w:p>
    <w:p w14:paraId="51221DBF" w14:textId="24DC1AF4" w:rsidR="00CE2B20" w:rsidRDefault="00CE2B20">
      <w:pPr>
        <w:rPr>
          <w:lang w:val="en-US"/>
        </w:rPr>
      </w:pPr>
    </w:p>
    <w:p w14:paraId="2B02D211" w14:textId="26419E55" w:rsidR="00CE2B20" w:rsidRDefault="00CE2B20">
      <w:pPr>
        <w:rPr>
          <w:lang w:val="en-US"/>
        </w:rPr>
      </w:pPr>
    </w:p>
    <w:p w14:paraId="3E63F9A5" w14:textId="1C6D15D2" w:rsidR="00CE2B20" w:rsidRDefault="00CE2B20">
      <w:pPr>
        <w:rPr>
          <w:lang w:val="en-US"/>
        </w:rPr>
      </w:pPr>
    </w:p>
    <w:p w14:paraId="1FEADBD4" w14:textId="100012E2" w:rsidR="00CE2B20" w:rsidRDefault="00CE2B20">
      <w:pPr>
        <w:rPr>
          <w:lang w:val="en-US"/>
        </w:rPr>
      </w:pPr>
    </w:p>
    <w:p w14:paraId="6DE12AC9" w14:textId="7233542E" w:rsidR="00CE2B20" w:rsidRDefault="00CE2B20">
      <w:pPr>
        <w:rPr>
          <w:lang w:val="en-US"/>
        </w:rPr>
      </w:pPr>
    </w:p>
    <w:p w14:paraId="36316FF5" w14:textId="21A0DE9A" w:rsidR="00CE2B20" w:rsidRDefault="00CE2B20">
      <w:pPr>
        <w:rPr>
          <w:lang w:val="en-US"/>
        </w:rPr>
      </w:pPr>
    </w:p>
    <w:p w14:paraId="33887032" w14:textId="1444F520" w:rsidR="00CE2B20" w:rsidRDefault="00CE2B20">
      <w:pPr>
        <w:rPr>
          <w:lang w:val="en-US"/>
        </w:rPr>
      </w:pPr>
    </w:p>
    <w:p w14:paraId="347C80A0" w14:textId="275F5637" w:rsidR="00CE2B20" w:rsidRDefault="00CE2B20">
      <w:pPr>
        <w:rPr>
          <w:lang w:val="en-US"/>
        </w:rPr>
      </w:pPr>
    </w:p>
    <w:p w14:paraId="0F7B3887" w14:textId="05343D88" w:rsidR="00CE2B20" w:rsidRDefault="00CE2B20">
      <w:pPr>
        <w:rPr>
          <w:lang w:val="en-US"/>
        </w:rPr>
      </w:pPr>
    </w:p>
    <w:p w14:paraId="40293D82" w14:textId="0929796C" w:rsidR="00CE2B20" w:rsidRDefault="00CE2B20">
      <w:pPr>
        <w:rPr>
          <w:lang w:val="en-US"/>
        </w:rPr>
      </w:pPr>
    </w:p>
    <w:p w14:paraId="1723EBDE" w14:textId="581C7000" w:rsidR="00CE2B20" w:rsidRDefault="00CE2B20">
      <w:pPr>
        <w:rPr>
          <w:lang w:val="en-US"/>
        </w:rPr>
      </w:pPr>
    </w:p>
    <w:p w14:paraId="56018D5C" w14:textId="1498E8B4" w:rsidR="00CE2B20" w:rsidRDefault="00CE2B20">
      <w:pPr>
        <w:rPr>
          <w:lang w:val="en-US"/>
        </w:rPr>
      </w:pPr>
    </w:p>
    <w:p w14:paraId="4923F28B" w14:textId="77777777" w:rsidR="00CE2B20" w:rsidRDefault="00CE2B20">
      <w:pPr>
        <w:rPr>
          <w:lang w:val="en-US"/>
        </w:rPr>
      </w:pPr>
    </w:p>
    <w:p w14:paraId="0C6F422D" w14:textId="031C9E55" w:rsidR="006809A0" w:rsidRDefault="00337048" w:rsidP="00CE2B20">
      <w:pPr>
        <w:jc w:val="center"/>
        <w:rPr>
          <w:lang w:val="en-US"/>
        </w:rPr>
      </w:pPr>
      <w:r>
        <w:rPr>
          <w:lang w:val="en-US"/>
        </w:rPr>
        <w:lastRenderedPageBreak/>
        <w:t>References</w:t>
      </w:r>
    </w:p>
    <w:p w14:paraId="38E0B83D" w14:textId="77777777" w:rsidR="006F5910" w:rsidRPr="006F5910" w:rsidRDefault="00337048" w:rsidP="00CE2B20">
      <w:pPr>
        <w:spacing w:line="480" w:lineRule="auto"/>
        <w:ind w:left="720" w:hanging="720"/>
      </w:pPr>
      <w:r w:rsidRPr="006F5910">
        <w:t xml:space="preserve">McGee, J. S., Zhao, H. C., Myers, D. R., &amp; Seela Eaton, H. (2018). Spiritual Diversity and Living with Early-Stage Dementia. </w:t>
      </w:r>
      <w:r w:rsidRPr="006F5910">
        <w:rPr>
          <w:i/>
          <w:iCs/>
        </w:rPr>
        <w:t>Clinical gerontologist</w:t>
      </w:r>
      <w:r w:rsidRPr="006F5910">
        <w:t xml:space="preserve">, </w:t>
      </w:r>
      <w:r w:rsidRPr="006F5910">
        <w:rPr>
          <w:i/>
          <w:iCs/>
        </w:rPr>
        <w:t>41</w:t>
      </w:r>
      <w:r w:rsidRPr="006F5910">
        <w:t>(3), 261-267.</w:t>
      </w:r>
    </w:p>
    <w:p w14:paraId="16E30EAD" w14:textId="77777777" w:rsidR="006F5910" w:rsidRDefault="006F5910">
      <w:pPr>
        <w:rPr>
          <w:lang w:val="en-US"/>
        </w:rPr>
      </w:pPr>
    </w:p>
    <w:p w14:paraId="4B8B9CF4" w14:textId="72B0D72F" w:rsidR="006809A0" w:rsidRPr="006809A0" w:rsidRDefault="006809A0">
      <w:pPr>
        <w:rPr>
          <w:lang w:val="en-US"/>
        </w:rPr>
      </w:pPr>
    </w:p>
    <w:sectPr w:rsidR="006809A0" w:rsidRPr="006809A0" w:rsidSect="006F591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DAEEFC" w14:textId="77777777" w:rsidR="00C61D4A" w:rsidRDefault="00C61D4A">
      <w:pPr>
        <w:spacing w:after="0" w:line="240" w:lineRule="auto"/>
      </w:pPr>
      <w:r>
        <w:separator/>
      </w:r>
    </w:p>
  </w:endnote>
  <w:endnote w:type="continuationSeparator" w:id="0">
    <w:p w14:paraId="0BFCDC68" w14:textId="77777777" w:rsidR="00C61D4A" w:rsidRDefault="00C61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FBE3AB" w14:textId="77777777" w:rsidR="00C61D4A" w:rsidRDefault="00C61D4A">
      <w:pPr>
        <w:spacing w:after="0" w:line="240" w:lineRule="auto"/>
      </w:pPr>
      <w:r>
        <w:separator/>
      </w:r>
    </w:p>
  </w:footnote>
  <w:footnote w:type="continuationSeparator" w:id="0">
    <w:p w14:paraId="6169BFF1" w14:textId="77777777" w:rsidR="00C61D4A" w:rsidRDefault="00C61D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85F91F" w14:textId="27110B40" w:rsidR="00CE2B20" w:rsidRDefault="00337048">
    <w:pPr>
      <w:pStyle w:val="Header"/>
      <w:jc w:val="right"/>
    </w:pPr>
    <w:r w:rsidRPr="00CE2B20">
      <w:rPr>
        <w:lang w:val="en-US"/>
      </w:rPr>
      <w:t>EVIDENCE-BASED PRACTICE ARTICLE</w:t>
    </w:r>
    <w:r w:rsidRPr="00CE2B20">
      <w:t xml:space="preserve"> </w:t>
    </w:r>
    <w:r>
      <w:rPr>
        <w:lang w:val="en-US"/>
      </w:rPr>
      <w:t xml:space="preserve">                                                                        </w:t>
    </w:r>
    <w:sdt>
      <w:sdtPr>
        <w:id w:val="-11747937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C207ECC" w14:textId="77777777" w:rsidR="00CE2B20" w:rsidRDefault="00CE2B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60FC6" w14:textId="49C7901B" w:rsidR="006F5910" w:rsidRDefault="00337048">
    <w:pPr>
      <w:pStyle w:val="Header"/>
      <w:jc w:val="right"/>
    </w:pPr>
    <w:r>
      <w:rPr>
        <w:lang w:val="en-US"/>
      </w:rPr>
      <w:t xml:space="preserve">Running head: </w:t>
    </w:r>
    <w:r w:rsidRPr="006F5910">
      <w:rPr>
        <w:lang w:val="en-US"/>
      </w:rPr>
      <w:t xml:space="preserve">EVIDENCE-BASED PRACTICE ARTICLE </w:t>
    </w:r>
    <w:r>
      <w:rPr>
        <w:lang w:val="en-US"/>
      </w:rPr>
      <w:t xml:space="preserve">                                                  </w:t>
    </w:r>
    <w:sdt>
      <w:sdtPr>
        <w:id w:val="13324931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B8E4A3D" w14:textId="77777777" w:rsidR="006F5910" w:rsidRDefault="006F59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A0t7S0NLM0tDA1tjBV0lEKTi0uzszPAykwrAUAoygN9CwAAAA="/>
  </w:docVars>
  <w:rsids>
    <w:rsidRoot w:val="006809A0"/>
    <w:rsid w:val="001A6420"/>
    <w:rsid w:val="00337048"/>
    <w:rsid w:val="00652BEC"/>
    <w:rsid w:val="006538E6"/>
    <w:rsid w:val="006809A0"/>
    <w:rsid w:val="006F5910"/>
    <w:rsid w:val="007112AC"/>
    <w:rsid w:val="008D4866"/>
    <w:rsid w:val="00C61D4A"/>
    <w:rsid w:val="00CE2B20"/>
    <w:rsid w:val="00D63106"/>
    <w:rsid w:val="00DC2427"/>
    <w:rsid w:val="00EB1F6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895ABB-1499-4DD9-AC4F-9AA6D3758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B1F67"/>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B1F67"/>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EB1F67"/>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EB1F67"/>
    <w:pPr>
      <w:keepNext/>
      <w:keepLines/>
      <w:spacing w:before="40" w:after="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F67"/>
    <w:rPr>
      <w:rFonts w:eastAsiaTheme="majorEastAsia" w:cstheme="majorBidi"/>
      <w:b/>
      <w:szCs w:val="32"/>
    </w:rPr>
  </w:style>
  <w:style w:type="character" w:customStyle="1" w:styleId="Heading2Char">
    <w:name w:val="Heading 2 Char"/>
    <w:basedOn w:val="DefaultParagraphFont"/>
    <w:link w:val="Heading2"/>
    <w:uiPriority w:val="9"/>
    <w:rsid w:val="00EB1F67"/>
    <w:rPr>
      <w:rFonts w:eastAsiaTheme="majorEastAsia" w:cstheme="majorBidi"/>
      <w:b/>
      <w:szCs w:val="26"/>
    </w:rPr>
  </w:style>
  <w:style w:type="character" w:customStyle="1" w:styleId="Heading3Char">
    <w:name w:val="Heading 3 Char"/>
    <w:basedOn w:val="DefaultParagraphFont"/>
    <w:link w:val="Heading3"/>
    <w:uiPriority w:val="9"/>
    <w:rsid w:val="00EB1F67"/>
    <w:rPr>
      <w:rFonts w:eastAsiaTheme="majorEastAsia" w:cstheme="majorBidi"/>
      <w:b/>
      <w:szCs w:val="24"/>
    </w:rPr>
  </w:style>
  <w:style w:type="character" w:customStyle="1" w:styleId="Heading4Char">
    <w:name w:val="Heading 4 Char"/>
    <w:basedOn w:val="DefaultParagraphFont"/>
    <w:link w:val="Heading4"/>
    <w:uiPriority w:val="9"/>
    <w:semiHidden/>
    <w:rsid w:val="00EB1F67"/>
    <w:rPr>
      <w:rFonts w:eastAsiaTheme="majorEastAsia" w:cstheme="majorBidi"/>
      <w:b/>
      <w:iCs/>
    </w:rPr>
  </w:style>
  <w:style w:type="paragraph" w:styleId="Header">
    <w:name w:val="header"/>
    <w:basedOn w:val="Normal"/>
    <w:link w:val="HeaderChar"/>
    <w:uiPriority w:val="99"/>
    <w:unhideWhenUsed/>
    <w:rsid w:val="006F59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5910"/>
  </w:style>
  <w:style w:type="paragraph" w:styleId="Footer">
    <w:name w:val="footer"/>
    <w:basedOn w:val="Normal"/>
    <w:link w:val="FooterChar"/>
    <w:uiPriority w:val="99"/>
    <w:unhideWhenUsed/>
    <w:rsid w:val="006F59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59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2020-04-10T08:13:00Z</dcterms:created>
  <dcterms:modified xsi:type="dcterms:W3CDTF">2020-04-10T08:13:00Z</dcterms:modified>
</cp:coreProperties>
</file>